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Wnętrze uszyte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nie ma bardziej osobistej przestrzeni niż wnętrze własnego domu czy mieszkania. To właśnie tam czujemy się najbardziej swobodnie, zachowujemy się najnaturalniej, jesteśmy najpełniej sobą. W czasach masowej produkcji coraz bardziej chronimy i doceniamy indywidualizm.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kreowaniu swojego wizerunku sięgamy po spersonalizowane produkty – modę, biżuterię, gadżety, a nawet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by więc nie zadbać o spersonalizowany charakter wnętrz, w których żyjemy?</w:t>
      </w:r>
      <w:r>
        <w:rPr>
          <w:rFonts w:ascii="calibri" w:hAnsi="calibri" w:eastAsia="calibri" w:cs="calibri"/>
          <w:sz w:val="24"/>
          <w:szCs w:val="24"/>
        </w:rPr>
        <w:t xml:space="preserve"> Kreując przestrzeń wokół siebie, wyrażamy swoją osobowość, tworząc przy tym wyjątkową atmosferę miejsca, w którym poczujemy się dobrze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całego tekstu na naszym blogu '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Twój E Blog by Eurofirany'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film prezentujący tradycję szycia firan i zasłon naszej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e-uszyte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2026-05-09T20:59:44+02:00</dcterms:created>
  <dcterms:modified xsi:type="dcterms:W3CDTF">2026-05-09T20:59:44+02:00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